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13319A" w:rsidRDefault="0013319A" w:rsidP="0013319A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(далее- Компания) </w:t>
      </w:r>
      <w:r w:rsidRPr="00F06A16">
        <w:rPr>
          <w:rFonts w:ascii="Times New Roman" w:hAnsi="Times New Roman" w:cs="Times New Roman"/>
          <w:sz w:val="24"/>
          <w:szCs w:val="24"/>
        </w:rPr>
        <w:t xml:space="preserve">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одноэтапном </w:t>
      </w:r>
      <w:r w:rsidRPr="00C3575A">
        <w:rPr>
          <w:rFonts w:ascii="Times New Roman" w:hAnsi="Times New Roman" w:cs="Times New Roman"/>
          <w:sz w:val="24"/>
          <w:szCs w:val="24"/>
        </w:rPr>
        <w:t xml:space="preserve">Тендере </w:t>
      </w:r>
      <w:r w:rsidRPr="00C3575A">
        <w:rPr>
          <w:rFonts w:ascii="Times New Roman" w:hAnsi="Times New Roman" w:cs="Times New Roman"/>
          <w:b/>
          <w:sz w:val="24"/>
          <w:szCs w:val="24"/>
        </w:rPr>
        <w:t>6</w:t>
      </w:r>
      <w:r w:rsidR="00F418E0" w:rsidRPr="00C3575A">
        <w:rPr>
          <w:rFonts w:ascii="Times New Roman" w:hAnsi="Times New Roman" w:cs="Times New Roman"/>
          <w:b/>
          <w:sz w:val="24"/>
          <w:szCs w:val="24"/>
        </w:rPr>
        <w:t>2</w:t>
      </w:r>
      <w:r w:rsidR="00C3575A" w:rsidRPr="00C3575A">
        <w:rPr>
          <w:rFonts w:ascii="Times New Roman" w:hAnsi="Times New Roman" w:cs="Times New Roman"/>
          <w:b/>
          <w:sz w:val="24"/>
          <w:szCs w:val="24"/>
        </w:rPr>
        <w:t>47</w:t>
      </w:r>
      <w:r w:rsidRPr="0013319A">
        <w:rPr>
          <w:rFonts w:ascii="Times New Roman" w:hAnsi="Times New Roman" w:cs="Times New Roman"/>
          <w:b/>
          <w:sz w:val="24"/>
          <w:szCs w:val="24"/>
        </w:rPr>
        <w:t>-</w:t>
      </w:r>
      <w:r w:rsidRPr="0013319A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Pr="0081342B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Pr="00AA7076">
        <w:rPr>
          <w:rFonts w:ascii="Times New Roman" w:hAnsi="Times New Roman" w:cs="Times New Roman"/>
          <w:sz w:val="24"/>
          <w:szCs w:val="24"/>
        </w:rPr>
        <w:t xml:space="preserve"> заключения рамочного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подряда</w:t>
      </w:r>
      <w:r w:rsidRPr="00AA707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проведение к</w:t>
      </w:r>
      <w:r w:rsidRPr="00F546A2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46A2">
        <w:rPr>
          <w:rFonts w:ascii="Times New Roman" w:hAnsi="Times New Roman" w:cs="Times New Roman"/>
          <w:sz w:val="24"/>
          <w:szCs w:val="24"/>
        </w:rPr>
        <w:t xml:space="preserve"> работ и услуг по оформлению прав на объекты нефтепроводной системы КТК (объекты недвижимости) и земельные участки, по кадастровым, геодезическим работам, оценке движимого и недвижимого имущества, разработке и согласованию проектов рекультивации земель на территории </w:t>
      </w:r>
      <w:r w:rsidR="00CA32E7">
        <w:rPr>
          <w:rFonts w:ascii="Times New Roman" w:hAnsi="Times New Roman" w:cs="Times New Roman"/>
          <w:sz w:val="24"/>
          <w:szCs w:val="24"/>
        </w:rPr>
        <w:t>Краснодарского</w:t>
      </w:r>
      <w:r w:rsidR="00F418E0">
        <w:rPr>
          <w:rFonts w:ascii="Times New Roman" w:hAnsi="Times New Roman" w:cs="Times New Roman"/>
          <w:sz w:val="24"/>
          <w:szCs w:val="24"/>
        </w:rPr>
        <w:t xml:space="preserve"> края</w:t>
      </w:r>
      <w:r w:rsidR="00CA32E7">
        <w:rPr>
          <w:rFonts w:ascii="Times New Roman" w:hAnsi="Times New Roman" w:cs="Times New Roman"/>
          <w:sz w:val="24"/>
          <w:szCs w:val="24"/>
        </w:rPr>
        <w:t>, включая МО г. Новороссийск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9A" w:rsidRDefault="0013319A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lastRenderedPageBreak/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CA32E7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</w:t>
      </w:r>
      <w:r w:rsidR="00F418E0">
        <w:rPr>
          <w:rFonts w:ascii="Times New Roman" w:hAnsi="Times New Roman" w:cs="Times New Roman"/>
          <w:sz w:val="24"/>
          <w:szCs w:val="24"/>
        </w:rPr>
        <w:t xml:space="preserve"> край</w:t>
      </w:r>
      <w:r w:rsidR="00B42034" w:rsidRPr="000C30B2">
        <w:rPr>
          <w:rFonts w:ascii="Times New Roman" w:hAnsi="Times New Roman" w:cs="Times New Roman"/>
          <w:sz w:val="24"/>
          <w:szCs w:val="24"/>
        </w:rPr>
        <w:t>,</w:t>
      </w:r>
      <w:r w:rsidR="0013319A">
        <w:rPr>
          <w:rFonts w:ascii="Times New Roman" w:hAnsi="Times New Roman" w:cs="Times New Roman"/>
          <w:sz w:val="24"/>
          <w:szCs w:val="24"/>
        </w:rPr>
        <w:t xml:space="preserve"> объекты трубопроводной системы КТК «Тенгиз-Новороссийск» на территории региона</w:t>
      </w:r>
      <w:r w:rsidR="00F347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Кавказский, Тбилисский, Усть-Лабинский,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Динской, Красноармейский, Абинский, Крымский</w:t>
      </w:r>
      <w:r w:rsidR="00F418E0">
        <w:rPr>
          <w:rFonts w:ascii="Times New Roman" w:hAnsi="Times New Roman" w:cs="Times New Roman"/>
          <w:sz w:val="24"/>
          <w:szCs w:val="24"/>
        </w:rPr>
        <w:t xml:space="preserve"> районы</w:t>
      </w:r>
      <w:r>
        <w:rPr>
          <w:rFonts w:ascii="Times New Roman" w:hAnsi="Times New Roman" w:cs="Times New Roman"/>
          <w:sz w:val="24"/>
          <w:szCs w:val="24"/>
        </w:rPr>
        <w:t xml:space="preserve">, 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</w:t>
      </w:r>
      <w:proofErr w:type="spellEnd"/>
      <w:r w:rsidR="00C3575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357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</w:t>
      </w:r>
      <w:proofErr w:type="spellEnd"/>
      <w:r w:rsidR="00F418E0">
        <w:rPr>
          <w:rFonts w:ascii="Times New Roman" w:hAnsi="Times New Roman" w:cs="Times New Roman"/>
          <w:sz w:val="24"/>
          <w:szCs w:val="24"/>
        </w:rPr>
        <w:t>)</w:t>
      </w:r>
      <w:r w:rsidR="0013319A">
        <w:rPr>
          <w:rFonts w:ascii="Times New Roman" w:hAnsi="Times New Roman" w:cs="Times New Roman"/>
          <w:sz w:val="24"/>
          <w:szCs w:val="24"/>
        </w:rPr>
        <w:t>.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13319A" w:rsidRDefault="007C188F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по выдаваемым Компанией Наряд-заказам к рамочному договору подряда. Договор подряда включает в себя к</w:t>
      </w:r>
      <w:r w:rsidR="0013319A" w:rsidRPr="001010DB">
        <w:rPr>
          <w:rFonts w:ascii="Times New Roman" w:hAnsi="Times New Roman" w:cs="Times New Roman"/>
          <w:sz w:val="24"/>
          <w:szCs w:val="24"/>
        </w:rPr>
        <w:t xml:space="preserve">омплекс работ и услуг по оформлению прав на объекты нефтепроводной системы КТК (объекты недвижимости) и земельные участки, по кадастровым, геодезическим работам, оценке движимого и недвижимого имущества, разработке и согласованию проектов рекультивации земель на территории </w:t>
      </w:r>
      <w:r w:rsidR="00CA32E7">
        <w:rPr>
          <w:rFonts w:ascii="Times New Roman" w:hAnsi="Times New Roman" w:cs="Times New Roman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sz w:val="24"/>
          <w:szCs w:val="24"/>
        </w:rPr>
        <w:t>, включая, но не ограничиваясь: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1.</w:t>
      </w:r>
      <w:r w:rsidRPr="0013319A">
        <w:rPr>
          <w:rFonts w:ascii="Times New Roman" w:hAnsi="Times New Roman" w:cs="Times New Roman"/>
          <w:sz w:val="24"/>
          <w:szCs w:val="24"/>
        </w:rPr>
        <w:tab/>
        <w:t>Кадастровые работы: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составление информационной схемы расположения земельного участка относительно смежных участков с использованием сведений Единого государственного реестра недвижимости и картографического материала;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составление, согласование, утверждение Схемы расположения земельного участка на кадастровом плане территории;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подготовка межевого плана в связи с образованием земельного участка / части земельного участка, разделом земельного участка, уточнением границ земельного участка. Техническое сопровождение внесения сведений о земельном участке / части земельного участка в Единый государственный реестр недвижимости;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вынос в натуру (координирование по факту) границ земельного участка.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2. Внесение изменений в правоустанавливающие и </w:t>
      </w:r>
      <w:proofErr w:type="spellStart"/>
      <w:r w:rsidRPr="0013319A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3319A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3. Топографо-геодезическая съемка;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4. Подготовка в электронной форме текстового и графического описания местоположения границ зон с особыми условиями использования территории, перечень координат характерных точек границ таких зон (карт (планов)).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5. Разработка и утверждение проектов рекультивации нарушенных земель;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6. Разработка и утверждение проектов планировки (межевания) территории;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7. Оформление документов на земельные участки: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lastRenderedPageBreak/>
        <w:t>- сопровождение процессов оформления документов на земельные участки и объекты недвижимости в государственных и муниципальных органах, а также с правообладателями земельных участков;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консультирование, организация и проведение общего собрания, подготовка необходимых документов, сопровождение внесения изменений в сведения Единого государственного реестра недвижимости;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подготовка расчета убытков сельскохозяйственного производства, включая упущенную выгоду;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- подготовка, заключение, государственная регистрация договоров, соглашений, иных документов, предоставляющих Компании право пользования землей;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- участие в судебном заседании в качестве специалиста (кадастрового инженера).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8. Оценка движимого и недвижимого имущества, включая оценку рыночной стоимости земельных участков, платы за пользование земельными участками.</w:t>
      </w:r>
    </w:p>
    <w:p w:rsid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9. Разработка технического плана объекта строительства для ввода объекта в эксплуатацию и регистрации права собственности.</w:t>
      </w:r>
    </w:p>
    <w:p w:rsidR="0013319A" w:rsidRDefault="0013319A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45" w:rsidRPr="00CD68A8" w:rsidRDefault="00001E45" w:rsidP="00001E4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B13" w:rsidRPr="00CD68A8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A8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E16B13" w:rsidRPr="00E16B13" w:rsidRDefault="00100781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</w:t>
      </w:r>
      <w:r w:rsidR="00CA32E7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414710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</w:t>
      </w:r>
      <w:r w:rsidR="00CA32E7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7C188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3A4C69" w:rsidRPr="00464F49" w:rsidTr="007235F8">
        <w:trPr>
          <w:trHeight w:val="587"/>
        </w:trPr>
        <w:tc>
          <w:tcPr>
            <w:tcW w:w="4253" w:type="dxa"/>
            <w:shd w:val="clear" w:color="auto" w:fill="auto"/>
            <w:vAlign w:val="center"/>
          </w:tcPr>
          <w:p w:rsidR="003A4C69" w:rsidRPr="00464F49" w:rsidRDefault="003A4C69" w:rsidP="007235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49">
              <w:rPr>
                <w:rFonts w:ascii="Times New Roman" w:hAnsi="Times New Roman" w:cs="Times New Roman"/>
                <w:sz w:val="24"/>
                <w:szCs w:val="24"/>
              </w:rPr>
              <w:t>Срок завершения подачи запросов на уточнение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4C69" w:rsidRPr="00464F49" w:rsidRDefault="003A4C69" w:rsidP="00A226C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18</w:t>
            </w:r>
            <w:r w:rsidRPr="0046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  <w:tr w:rsidR="003A4C69" w:rsidRPr="00D23AAE" w:rsidTr="007235F8">
        <w:tc>
          <w:tcPr>
            <w:tcW w:w="4253" w:type="dxa"/>
            <w:shd w:val="clear" w:color="auto" w:fill="auto"/>
            <w:vAlign w:val="center"/>
          </w:tcPr>
          <w:p w:rsidR="003A4C69" w:rsidRPr="00464F49" w:rsidRDefault="003A4C69" w:rsidP="007235F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464F49">
              <w:rPr>
                <w:rFonts w:ascii="Times New Roman" w:hAnsi="Times New Roman" w:cs="Times New Roman"/>
                <w:sz w:val="24"/>
                <w:szCs w:val="24"/>
              </w:rPr>
              <w:t>Дата окончания приёма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3A4C69" w:rsidRPr="00D23AAE" w:rsidRDefault="003A4C69" w:rsidP="00A226C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1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  <w:r w:rsidRPr="0046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endnote>
  <w:end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26C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26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footnote>
  <w:foot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35DBF"/>
    <w:multiLevelType w:val="hybridMultilevel"/>
    <w:tmpl w:val="6F86D800"/>
    <w:lvl w:ilvl="0" w:tplc="003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34"/>
  </w:num>
  <w:num w:numId="4">
    <w:abstractNumId w:val="20"/>
  </w:num>
  <w:num w:numId="5">
    <w:abstractNumId w:val="48"/>
  </w:num>
  <w:num w:numId="6">
    <w:abstractNumId w:val="32"/>
  </w:num>
  <w:num w:numId="7">
    <w:abstractNumId w:val="28"/>
  </w:num>
  <w:num w:numId="8">
    <w:abstractNumId w:val="30"/>
  </w:num>
  <w:num w:numId="9">
    <w:abstractNumId w:val="24"/>
  </w:num>
  <w:num w:numId="10">
    <w:abstractNumId w:val="35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33"/>
  </w:num>
  <w:num w:numId="17">
    <w:abstractNumId w:val="4"/>
  </w:num>
  <w:num w:numId="18">
    <w:abstractNumId w:val="8"/>
  </w:num>
  <w:num w:numId="19">
    <w:abstractNumId w:val="22"/>
  </w:num>
  <w:num w:numId="20">
    <w:abstractNumId w:val="16"/>
  </w:num>
  <w:num w:numId="21">
    <w:abstractNumId w:val="27"/>
  </w:num>
  <w:num w:numId="22">
    <w:abstractNumId w:val="23"/>
  </w:num>
  <w:num w:numId="23">
    <w:abstractNumId w:val="39"/>
  </w:num>
  <w:num w:numId="24">
    <w:abstractNumId w:val="40"/>
  </w:num>
  <w:num w:numId="25">
    <w:abstractNumId w:val="10"/>
  </w:num>
  <w:num w:numId="26">
    <w:abstractNumId w:val="13"/>
  </w:num>
  <w:num w:numId="27">
    <w:abstractNumId w:val="44"/>
  </w:num>
  <w:num w:numId="28">
    <w:abstractNumId w:val="7"/>
  </w:num>
  <w:num w:numId="29">
    <w:abstractNumId w:val="21"/>
  </w:num>
  <w:num w:numId="30">
    <w:abstractNumId w:val="49"/>
  </w:num>
  <w:num w:numId="31">
    <w:abstractNumId w:val="12"/>
  </w:num>
  <w:num w:numId="32">
    <w:abstractNumId w:val="31"/>
  </w:num>
  <w:num w:numId="33">
    <w:abstractNumId w:val="29"/>
  </w:num>
  <w:num w:numId="34">
    <w:abstractNumId w:val="41"/>
  </w:num>
  <w:num w:numId="35">
    <w:abstractNumId w:val="19"/>
  </w:num>
  <w:num w:numId="36">
    <w:abstractNumId w:val="46"/>
  </w:num>
  <w:num w:numId="37">
    <w:abstractNumId w:val="3"/>
  </w:num>
  <w:num w:numId="38">
    <w:abstractNumId w:val="1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26"/>
  </w:num>
  <w:num w:numId="44">
    <w:abstractNumId w:val="36"/>
  </w:num>
  <w:num w:numId="45">
    <w:abstractNumId w:val="42"/>
  </w:num>
  <w:num w:numId="46">
    <w:abstractNumId w:val="43"/>
  </w:num>
  <w:num w:numId="47">
    <w:abstractNumId w:val="38"/>
  </w:num>
  <w:num w:numId="48">
    <w:abstractNumId w:val="2"/>
  </w:num>
  <w:num w:numId="49">
    <w:abstractNumId w:val="47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1E45"/>
    <w:rsid w:val="00004888"/>
    <w:rsid w:val="00004E7E"/>
    <w:rsid w:val="000057AC"/>
    <w:rsid w:val="000057E6"/>
    <w:rsid w:val="00007F8E"/>
    <w:rsid w:val="0001176C"/>
    <w:rsid w:val="00013721"/>
    <w:rsid w:val="00013859"/>
    <w:rsid w:val="00016540"/>
    <w:rsid w:val="000214E8"/>
    <w:rsid w:val="00022B9E"/>
    <w:rsid w:val="00023D04"/>
    <w:rsid w:val="000240C6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0B2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0781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19A"/>
    <w:rsid w:val="001338BA"/>
    <w:rsid w:val="00133BA4"/>
    <w:rsid w:val="0014208F"/>
    <w:rsid w:val="00142E84"/>
    <w:rsid w:val="0014492E"/>
    <w:rsid w:val="00147A1E"/>
    <w:rsid w:val="001545BC"/>
    <w:rsid w:val="001555E0"/>
    <w:rsid w:val="001569F3"/>
    <w:rsid w:val="00157955"/>
    <w:rsid w:val="00157B99"/>
    <w:rsid w:val="001612F4"/>
    <w:rsid w:val="0016351A"/>
    <w:rsid w:val="001635A2"/>
    <w:rsid w:val="00163802"/>
    <w:rsid w:val="00164091"/>
    <w:rsid w:val="0016549B"/>
    <w:rsid w:val="00166A0F"/>
    <w:rsid w:val="00170356"/>
    <w:rsid w:val="00172E94"/>
    <w:rsid w:val="00174E48"/>
    <w:rsid w:val="00176D4F"/>
    <w:rsid w:val="00177607"/>
    <w:rsid w:val="00180946"/>
    <w:rsid w:val="00181881"/>
    <w:rsid w:val="00181D2A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14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10A9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C69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4710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13E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3494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2C98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878B0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188F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6F6D"/>
    <w:rsid w:val="008077BF"/>
    <w:rsid w:val="00807A12"/>
    <w:rsid w:val="0081017B"/>
    <w:rsid w:val="00810F1B"/>
    <w:rsid w:val="008122E3"/>
    <w:rsid w:val="00812BB7"/>
    <w:rsid w:val="00812D8D"/>
    <w:rsid w:val="0081301A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6D35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B7261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3EB0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6CA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2A28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03DD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2C87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3575A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9AA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2E7"/>
    <w:rsid w:val="00CA3759"/>
    <w:rsid w:val="00CA5923"/>
    <w:rsid w:val="00CA5D4C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8A8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3061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47FA"/>
    <w:rsid w:val="00F35E66"/>
    <w:rsid w:val="00F36F3F"/>
    <w:rsid w:val="00F37067"/>
    <w:rsid w:val="00F374F2"/>
    <w:rsid w:val="00F37D65"/>
    <w:rsid w:val="00F40929"/>
    <w:rsid w:val="00F412EA"/>
    <w:rsid w:val="00F4137D"/>
    <w:rsid w:val="00F418E0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0D01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7394EC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7878B0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C0783C-96C1-4ECF-AC62-A05E40D5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Khar0609</cp:lastModifiedBy>
  <cp:revision>5</cp:revision>
  <cp:lastPrinted>2017-11-24T11:20:00Z</cp:lastPrinted>
  <dcterms:created xsi:type="dcterms:W3CDTF">2024-03-20T11:12:00Z</dcterms:created>
  <dcterms:modified xsi:type="dcterms:W3CDTF">2024-05-14T11:49:00Z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